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40" w:rsidRPr="0063716E" w:rsidRDefault="00870A02" w:rsidP="00870A02">
      <w:pPr>
        <w:jc w:val="center"/>
        <w:rPr>
          <w:b/>
          <w:sz w:val="32"/>
          <w:szCs w:val="32"/>
        </w:rPr>
      </w:pPr>
      <w:proofErr w:type="spellStart"/>
      <w:r w:rsidRPr="0063716E">
        <w:rPr>
          <w:b/>
          <w:sz w:val="32"/>
          <w:szCs w:val="32"/>
        </w:rPr>
        <w:t>Отчет</w:t>
      </w:r>
      <w:proofErr w:type="spellEnd"/>
      <w:r w:rsidRPr="0063716E">
        <w:rPr>
          <w:b/>
          <w:sz w:val="32"/>
          <w:szCs w:val="32"/>
        </w:rPr>
        <w:t xml:space="preserve"> </w:t>
      </w:r>
      <w:proofErr w:type="spellStart"/>
      <w:r w:rsidR="0063716E" w:rsidRPr="0063716E">
        <w:rPr>
          <w:b/>
          <w:sz w:val="32"/>
          <w:szCs w:val="32"/>
        </w:rPr>
        <w:t>за</w:t>
      </w:r>
      <w:proofErr w:type="spellEnd"/>
      <w:r w:rsidR="0063716E" w:rsidRPr="0063716E">
        <w:rPr>
          <w:b/>
          <w:sz w:val="32"/>
          <w:szCs w:val="32"/>
        </w:rPr>
        <w:t xml:space="preserve"> </w:t>
      </w:r>
      <w:proofErr w:type="spellStart"/>
      <w:r w:rsidR="0063716E" w:rsidRPr="0063716E">
        <w:rPr>
          <w:b/>
          <w:sz w:val="32"/>
          <w:szCs w:val="32"/>
        </w:rPr>
        <w:t>изпълнение</w:t>
      </w:r>
      <w:proofErr w:type="spellEnd"/>
      <w:r w:rsidR="0063716E" w:rsidRPr="0063716E">
        <w:rPr>
          <w:b/>
          <w:sz w:val="32"/>
          <w:szCs w:val="32"/>
        </w:rPr>
        <w:t xml:space="preserve"> </w:t>
      </w:r>
      <w:proofErr w:type="spellStart"/>
      <w:r w:rsidR="0063716E" w:rsidRPr="0063716E">
        <w:rPr>
          <w:b/>
          <w:sz w:val="32"/>
          <w:szCs w:val="32"/>
        </w:rPr>
        <w:t>на</w:t>
      </w:r>
      <w:proofErr w:type="spellEnd"/>
      <w:r w:rsidR="0063716E" w:rsidRPr="0063716E">
        <w:rPr>
          <w:b/>
          <w:sz w:val="32"/>
          <w:szCs w:val="32"/>
        </w:rPr>
        <w:t xml:space="preserve"> </w:t>
      </w:r>
      <w:proofErr w:type="spellStart"/>
      <w:r w:rsidR="0063716E" w:rsidRPr="0063716E">
        <w:rPr>
          <w:b/>
          <w:sz w:val="32"/>
          <w:szCs w:val="32"/>
        </w:rPr>
        <w:t>целите</w:t>
      </w:r>
      <w:proofErr w:type="spellEnd"/>
      <w:r w:rsidR="0063716E" w:rsidRPr="0063716E">
        <w:rPr>
          <w:b/>
          <w:sz w:val="32"/>
          <w:szCs w:val="32"/>
        </w:rPr>
        <w:t xml:space="preserve"> </w:t>
      </w:r>
      <w:proofErr w:type="spellStart"/>
      <w:r w:rsidR="0063716E" w:rsidRPr="0063716E">
        <w:rPr>
          <w:b/>
          <w:sz w:val="32"/>
          <w:szCs w:val="32"/>
        </w:rPr>
        <w:t>за</w:t>
      </w:r>
      <w:proofErr w:type="spellEnd"/>
      <w:r w:rsidR="0063716E" w:rsidRPr="0063716E">
        <w:rPr>
          <w:b/>
          <w:sz w:val="32"/>
          <w:szCs w:val="32"/>
        </w:rPr>
        <w:t xml:space="preserve"> 2011</w:t>
      </w:r>
    </w:p>
    <w:tbl>
      <w:tblPr>
        <w:tblpPr w:leftFromText="141" w:rightFromText="141" w:horzAnchor="margin" w:tblpY="785"/>
        <w:tblW w:w="15559" w:type="dxa"/>
        <w:tblCellMar>
          <w:left w:w="10" w:type="dxa"/>
          <w:right w:w="10" w:type="dxa"/>
        </w:tblCellMar>
        <w:tblLook w:val="0000"/>
      </w:tblPr>
      <w:tblGrid>
        <w:gridCol w:w="2513"/>
        <w:gridCol w:w="2466"/>
        <w:gridCol w:w="2682"/>
        <w:gridCol w:w="2957"/>
        <w:gridCol w:w="2406"/>
        <w:gridCol w:w="2535"/>
      </w:tblGrid>
      <w:tr w:rsidR="00870A02" w:rsidTr="00911B94"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5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870A02" w:rsidTr="00911B94"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Цели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2011 г.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Дейности</w:t>
            </w:r>
            <w:proofErr w:type="spellEnd"/>
          </w:p>
        </w:tc>
        <w:tc>
          <w:tcPr>
            <w:tcW w:w="2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Резултат</w:t>
            </w:r>
            <w:proofErr w:type="spellEnd"/>
          </w:p>
        </w:tc>
        <w:tc>
          <w:tcPr>
            <w:tcW w:w="5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Индикатор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изпълнение</w:t>
            </w:r>
            <w:proofErr w:type="spellEnd"/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ind w:right="-72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Индикатор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за</w:t>
            </w:r>
            <w:proofErr w:type="spellEnd"/>
          </w:p>
          <w:p w:rsidR="00870A02" w:rsidRDefault="00870A02" w:rsidP="00911B94">
            <w:pPr>
              <w:spacing w:after="0" w:line="240" w:lineRule="auto"/>
              <w:ind w:right="-720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самооценка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0A02" w:rsidRDefault="00870A02" w:rsidP="00870A02">
            <w:pPr>
              <w:numPr>
                <w:ilvl w:val="0"/>
                <w:numId w:val="1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ind w:left="432" w:right="-7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напълно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left="432" w:right="-720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та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/100 %/</w:t>
            </w:r>
          </w:p>
          <w:p w:rsidR="00870A02" w:rsidRDefault="00870A02" w:rsidP="00870A02">
            <w:pPr>
              <w:numPr>
                <w:ilvl w:val="0"/>
                <w:numId w:val="1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ind w:left="432" w:right="-7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задоволително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left="432" w:right="-7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left="432" w:right="-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/50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50 %/</w:t>
            </w:r>
          </w:p>
          <w:p w:rsidR="00870A02" w:rsidRDefault="00870A02" w:rsidP="00870A02">
            <w:pPr>
              <w:numPr>
                <w:ilvl w:val="0"/>
                <w:numId w:val="1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ind w:left="432" w:right="-7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незадоволително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left="432" w:right="-7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/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под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50 %/</w:t>
            </w:r>
          </w:p>
        </w:tc>
      </w:tr>
      <w:tr w:rsidR="00870A02" w:rsidTr="00911B94">
        <w:trPr>
          <w:trHeight w:val="1584"/>
        </w:trPr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Индикатор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0A02" w:rsidRDefault="00870A02" w:rsidP="00911B94">
            <w:pPr>
              <w:spacing w:after="0" w:line="240" w:lineRule="auto"/>
              <w:ind w:right="-720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целево</w:t>
            </w:r>
            <w:proofErr w:type="spellEnd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състояние</w:t>
            </w:r>
            <w:proofErr w:type="spellEnd"/>
          </w:p>
          <w:p w:rsidR="00870A02" w:rsidRDefault="00870A02" w:rsidP="00911B94">
            <w:pPr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заложен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началото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0A02" w:rsidRDefault="00870A02" w:rsidP="00911B94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2011 г./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Индикатор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текущо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състояние</w:t>
            </w:r>
            <w:proofErr w:type="spellEnd"/>
          </w:p>
          <w:p w:rsidR="00870A02" w:rsidRDefault="00870A02" w:rsidP="00911B94">
            <w:pPr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отчетен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края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0A02" w:rsidRDefault="00870A02" w:rsidP="00911B94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2011 г. /</w:t>
            </w: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0A02" w:rsidTr="00911B94"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Pr="002400F3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Подобряване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качеството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процедурата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предоставяне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закрила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Pr="002400F3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Участие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Допълнително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развитие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качеството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“.</w:t>
            </w: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Pr="008B11B7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Обучение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интервюиращите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органи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юрисконсултите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изготвящи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решения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производството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общия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Участие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Брюксел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заключителна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конференция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Допълни-телно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развитие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качеството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“.</w:t>
            </w:r>
          </w:p>
          <w:p w:rsidR="00870A02" w:rsidRPr="00585646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Pr="003149A8" w:rsidRDefault="00870A02" w:rsidP="00911B94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Осем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интервюисти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обучени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изготвят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решения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Създаване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самостоятелно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структурно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звено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одит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качествен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контрол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Осем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длъжностни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лица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изготвящи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решения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интервюиращи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органи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Pr="00711DF9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1DF9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 w:rsidRPr="00711DF9">
              <w:rPr>
                <w:rFonts w:ascii="Arial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>ве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711DF9">
              <w:rPr>
                <w:rFonts w:ascii="Arial" w:hAnsi="Arial" w:cs="Arial"/>
                <w:sz w:val="24"/>
                <w:szCs w:val="24"/>
              </w:rPr>
              <w:t>лъжностни</w:t>
            </w:r>
            <w:proofErr w:type="spellEnd"/>
            <w:r w:rsidRPr="00711DF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11DF9">
              <w:rPr>
                <w:rFonts w:ascii="Arial" w:hAnsi="Arial" w:cs="Arial"/>
                <w:sz w:val="24"/>
                <w:szCs w:val="24"/>
              </w:rPr>
              <w:t>лица</w:t>
            </w:r>
            <w:proofErr w:type="spellEnd"/>
            <w:r w:rsidRPr="00711DF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11DF9">
              <w:rPr>
                <w:rFonts w:ascii="Arial" w:hAnsi="Arial" w:cs="Arial"/>
                <w:sz w:val="24"/>
                <w:szCs w:val="24"/>
              </w:rPr>
              <w:t>осъществяващи</w:t>
            </w:r>
            <w:proofErr w:type="spellEnd"/>
            <w:r w:rsidRPr="00711DF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11DF9">
              <w:rPr>
                <w:rFonts w:ascii="Arial" w:hAnsi="Arial" w:cs="Arial"/>
                <w:sz w:val="24"/>
                <w:szCs w:val="24"/>
              </w:rPr>
              <w:t>контрол</w:t>
            </w:r>
            <w:proofErr w:type="spellEnd"/>
            <w:r w:rsidRPr="00711DF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11DF9"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 w:rsidRPr="00711DF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11DF9">
              <w:rPr>
                <w:rFonts w:ascii="Arial" w:hAnsi="Arial" w:cs="Arial"/>
                <w:sz w:val="24"/>
                <w:szCs w:val="24"/>
              </w:rPr>
              <w:t>производството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Pr="00711DF9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Осем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длъжностни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лица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изготвящи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решения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Задоволително </w:t>
            </w: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50%</w:t>
            </w: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Напълно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100%</w:t>
            </w:r>
          </w:p>
        </w:tc>
      </w:tr>
      <w:tr w:rsidR="00870A02" w:rsidTr="00911B94"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Повишаване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институционалния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капацитет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ДАБ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МС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правилното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прилагане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правилата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предоставяне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прекратяване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отделните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видове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особена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закрила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чужденците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Р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България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Закона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убежището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бежанците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1.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Ремонт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РПЦ-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София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Въвеждане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Транзитен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център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– 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Пъстрогор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община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Свиленград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експлоатация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1.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Ремонт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вътреш-ната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част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сгра-дата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подмяна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вертикални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хоризонтални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щрангове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Изграждане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площадка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със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спортни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детски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уреди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двора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центъра</w:t>
            </w:r>
            <w:proofErr w:type="spellEnd"/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Подписан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Протокол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образец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15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образец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16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13.12.2011 г.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Държавна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приемателна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комисия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установяване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готовността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ползване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строеж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Транзитен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център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бежанци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BG 937.08.05L003 ПИ 087010,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землището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Пъстрогор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община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Свиленград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Издадено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разрешение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ползване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СТ-05-1591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23.12.2011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г.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Дирекция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национален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строителен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контрол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roofErr w:type="spellStart"/>
            <w:r>
              <w:rPr>
                <w:rFonts w:ascii="Arial" w:hAnsi="Arial" w:cs="Arial"/>
                <w:sz w:val="24"/>
                <w:szCs w:val="24"/>
              </w:rPr>
              <w:t>Специализирано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обучение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длъжностни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лица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провеждане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производство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предоставяне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закрила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центъра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1.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Ремонт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вътреш-ната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част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сградата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Изграждане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площадка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със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спортни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детски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уреди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двора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центъра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Незавършен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строителен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обект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Транзитен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център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– 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Пъстрогор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Завършен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ремонт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вътрешната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част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сградата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подмяна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вертикални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хоризонтални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щрангове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Изграждане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площадка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със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спортни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детски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уреди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двора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центъра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Подписан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Протокол-образец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15 и образец16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13.12.2011 г.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Държавна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приемателна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комисия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установяване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готовността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ползване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строеж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Транзитен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център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бежанци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BG 937.08.05L003 ПИ 087010,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землището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Пъстрогор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община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Свиленград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Издадено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разрешение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ползване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СТ-05-1591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23.12.2011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г.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Дирекция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национален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строителен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контрол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Проведено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специализирано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обучение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длъжностни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лица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провеждане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производство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предоставяне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закрила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центъра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roofErr w:type="spellStart"/>
            <w:r>
              <w:rPr>
                <w:rFonts w:ascii="Arial" w:hAnsi="Arial" w:cs="Arial"/>
                <w:sz w:val="24"/>
                <w:szCs w:val="24"/>
              </w:rPr>
              <w:t>Готовност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функциониране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центъра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пълен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капацитет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Напълно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100%</w:t>
            </w: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0A02" w:rsidRDefault="00870A02" w:rsidP="00911B94">
            <w:pPr>
              <w:tabs>
                <w:tab w:val="left" w:pos="432"/>
              </w:tabs>
              <w:spacing w:after="0" w:line="240" w:lineRule="auto"/>
              <w:ind w:right="-7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Напълно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100%</w:t>
            </w:r>
          </w:p>
        </w:tc>
      </w:tr>
      <w:tr w:rsidR="00870A02" w:rsidTr="00911B94"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3.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Изпълнение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дейности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свързани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подобряване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условията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интеграция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бежанците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Р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България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Изпълнение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мерки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интеграция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бежанците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чрез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обучение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български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език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професионална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квалификация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социално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ориентиране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насочване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трудова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заетост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други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дейности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Интегриране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улесняване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достъпа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бежанците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права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задължения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сравними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тези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гражданите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ЕС.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бежанци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включени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Националната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програма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интеграция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бежанците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Република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България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(2011-2013).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бежанци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включени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Националната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програма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интеграция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бежанците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Република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България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(2011-2013):</w:t>
            </w:r>
          </w:p>
          <w:p w:rsidR="00870A02" w:rsidRDefault="00870A02" w:rsidP="00911B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</w:rPr>
              <w:t xml:space="preserve">34 – </w:t>
            </w:r>
            <w:proofErr w:type="spellStart"/>
            <w:r>
              <w:rPr>
                <w:rFonts w:ascii="Arial" w:hAnsi="Arial" w:cs="Arial"/>
              </w:rPr>
              <w:t>завършили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програмата</w:t>
            </w:r>
            <w:proofErr w:type="spellEnd"/>
            <w:r>
              <w:rPr>
                <w:rFonts w:ascii="Arial" w:hAnsi="Arial" w:cs="Arial"/>
              </w:rPr>
              <w:t>;</w:t>
            </w:r>
          </w:p>
          <w:p w:rsidR="00870A02" w:rsidRDefault="00870A02" w:rsidP="00911B94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 – продължават програмата;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-46 –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изключени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програмата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Напълно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/100%/</w:t>
            </w:r>
          </w:p>
        </w:tc>
      </w:tr>
      <w:tr w:rsidR="00870A02" w:rsidTr="00911B94"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4.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Изпълнение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дейностите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заложени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годишната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програма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2011 г.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Европейската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служба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подкрепа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областта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убежището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Участие в дейностите и курсовете за обучение на Европейска служба за подкрепа в областта на убежището за членовете на националните служби, компетентни в областта на убежището.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Укрепване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капацитета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ДАБ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готовност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участие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механизма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споделяне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отговорности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между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държавите-членки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задълбочаване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всички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форми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практическо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сътрудничество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дър-жавите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членки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ЕС.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 xml:space="preserve">Европейската служба за подкрепа в областта на убежището е създадена от скоро и  все още няма организирани курсове. 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70A02" w:rsidRDefault="00870A02" w:rsidP="00911B94">
            <w:r>
              <w:rPr>
                <w:rFonts w:ascii="Arial" w:hAnsi="Arial" w:cs="Arial"/>
                <w:sz w:val="24"/>
                <w:szCs w:val="24"/>
                <w:lang w:val="ru-RU"/>
              </w:rPr>
              <w:t>Предстои да бъдат релокирани четирима бежанци от Малта.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Повишен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капацитет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готовност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участие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механизма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споделяне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отговорности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между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държавите-членки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задълбочаване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практическото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сътрудничество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държавите-членки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ЕС.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Задоволително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/50%/</w:t>
            </w:r>
          </w:p>
        </w:tc>
      </w:tr>
      <w:tr w:rsidR="00870A02" w:rsidTr="00911B94"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r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5. Ефективно управление и усвояване на средствата от Европейския бежански фонд (ЕБФ) от ДАБ при МС като отговорна институция.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1. Изпълнение на Годишна програма по ЕБФ ІІІ за 2009г., предоговаряне с Европейската комисия на Годишна програма по ЕБФ ІІІ за 2010г. и договаряне на Годишна програма 2011г.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2.Усъвършенстване на процедурите по управление на ЕБФ чрез:</w:t>
            </w:r>
          </w:p>
          <w:p w:rsidR="00870A02" w:rsidRDefault="00870A02" w:rsidP="00911B94"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•въвеждане на процедурни наръчници за изпълнение на програмите по ЕБФ </w:t>
            </w:r>
            <w:r>
              <w:rPr>
                <w:rFonts w:ascii="Arial" w:hAnsi="Arial" w:cs="Arial"/>
                <w:sz w:val="24"/>
                <w:szCs w:val="24"/>
              </w:rPr>
              <w:t>III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;</w:t>
            </w:r>
          </w:p>
          <w:p w:rsidR="00870A02" w:rsidRDefault="00870A02" w:rsidP="00911B94"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•внедряване на автоматизирана информационна система за управление на проектите по ЕБФ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III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;</w:t>
            </w:r>
          </w:p>
          <w:p w:rsidR="00870A02" w:rsidRDefault="00870A02" w:rsidP="00911B94"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•въвеждане на процедура по набиране на предложения за изпълнители на проекти по ЕБФ </w:t>
            </w:r>
            <w:r>
              <w:rPr>
                <w:rFonts w:ascii="Arial" w:hAnsi="Arial" w:cs="Arial"/>
                <w:sz w:val="24"/>
                <w:szCs w:val="24"/>
              </w:rPr>
              <w:t>III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;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•повишаване на квалификацията на служителите, пряко ангажирани с управлението на фонда.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3. Управление на текущи проекти за подобряване на практическото сътрудничество с държави-членки на ЕС.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Усвояване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средства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ЕБФ.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Изпълнение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ГП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2009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30.06.2011 г. 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Изготвяне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предоговаряне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ГП 2010.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Действия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одобряване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ГП 2011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Европейската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комисия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Изготвяне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Финансов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наръчник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Обсъждане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Техническо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задание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внедряване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автоматизирана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информационна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система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управление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ЕБФ III.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Изпълнени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дейности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въвеждане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процедура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набиране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предложения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изпълнители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ЕБФ III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повишаване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квалификацията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служителите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пряко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ангажирани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управлението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фонда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1.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Усвояване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средства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ГП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2009г.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Предоговаряне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ГП 2010. 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Одобрена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ГП 2011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Европейската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комисия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Изготвен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Финансов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наръчник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- 1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част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Изготвен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Техническо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задание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внедряване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автоматизирана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информационна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система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управление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ЕБФ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III .</w:t>
            </w:r>
            <w:proofErr w:type="gramEnd"/>
          </w:p>
          <w:p w:rsidR="00870A02" w:rsidRDefault="00870A02" w:rsidP="00911B94">
            <w:proofErr w:type="spellStart"/>
            <w:r>
              <w:rPr>
                <w:rFonts w:ascii="Arial" w:hAnsi="Arial" w:cs="Arial"/>
                <w:sz w:val="24"/>
                <w:szCs w:val="24"/>
              </w:rPr>
              <w:t>Въведена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процедура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набиране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предложения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изпълнители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проекти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ЕБФ III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повишаване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квалификацията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служителите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пряко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ангажирани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управлението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фонда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Напълно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/100%/</w:t>
            </w:r>
          </w:p>
        </w:tc>
      </w:tr>
      <w:tr w:rsidR="00870A02" w:rsidTr="00911B94"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r>
              <w:rPr>
                <w:rFonts w:ascii="Arial" w:hAnsi="Arial" w:cs="Arial"/>
                <w:lang w:val="ru-RU"/>
              </w:rPr>
              <w:lastRenderedPageBreak/>
              <w:t xml:space="preserve">6. Постоянно взаимодействие с институциите на ЕС, подобряване на практическото взаимодействие с държавите-членки на ЕС и разширяване на </w:t>
            </w:r>
            <w:r>
              <w:rPr>
                <w:rFonts w:ascii="Arial" w:hAnsi="Arial" w:cs="Arial"/>
                <w:lang w:val="ru-RU"/>
              </w:rPr>
              <w:lastRenderedPageBreak/>
              <w:t>участието в планиране, разработване и координиране изпълнението на съвместни проекти и програми в областта на миграцията, убежището и бежанците</w:t>
            </w:r>
            <w:r>
              <w:rPr>
                <w:rFonts w:ascii="Arial" w:hAnsi="Arial" w:cs="Arial"/>
                <w:b/>
                <w:bCs/>
                <w:lang w:val="ru-RU"/>
              </w:rPr>
              <w:t>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lastRenderedPageBreak/>
              <w:t>1. Участие в работна група 23 “Сътрудничество в областта на вътрешните работи”.</w:t>
            </w:r>
          </w:p>
          <w:p w:rsidR="00870A02" w:rsidRDefault="00870A02" w:rsidP="00911B9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2. Участие в работна група “Убежище” към </w:t>
            </w:r>
            <w:r>
              <w:rPr>
                <w:rFonts w:ascii="Arial" w:hAnsi="Arial" w:cs="Arial"/>
                <w:lang w:val="ru-RU"/>
              </w:rPr>
              <w:lastRenderedPageBreak/>
              <w:t>Съвета на ЕС, изготвяне на позиции и указания за заседанията на работната група.</w:t>
            </w:r>
          </w:p>
          <w:p w:rsidR="00870A02" w:rsidRDefault="00870A02" w:rsidP="00911B9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3. Участие в дейности на Европейската миграционна мрежа.</w:t>
            </w:r>
          </w:p>
          <w:p w:rsidR="00870A02" w:rsidRDefault="00870A02" w:rsidP="00911B94">
            <w:r>
              <w:rPr>
                <w:rFonts w:ascii="Arial" w:hAnsi="Arial" w:cs="Arial"/>
                <w:bCs/>
                <w:color w:val="000000"/>
                <w:lang w:val="ru-RU"/>
              </w:rPr>
              <w:t>4.</w:t>
            </w:r>
            <w:r>
              <w:rPr>
                <w:rFonts w:ascii="Arial" w:hAnsi="Arial" w:cs="Arial"/>
                <w:lang w:val="ru-RU"/>
              </w:rPr>
              <w:t>Разработване на стратегия и политика по презаселването и изграждане на административен капацитет за прилагането й.</w:t>
            </w:r>
          </w:p>
          <w:p w:rsidR="00870A02" w:rsidRDefault="00870A02" w:rsidP="00911B94">
            <w:pPr>
              <w:rPr>
                <w:rFonts w:ascii="Arial" w:hAnsi="Arial" w:cs="Arial"/>
              </w:rPr>
            </w:pPr>
          </w:p>
          <w:p w:rsidR="00870A02" w:rsidRDefault="00870A02" w:rsidP="00911B94">
            <w:r>
              <w:rPr>
                <w:rFonts w:ascii="Arial" w:hAnsi="Arial" w:cs="Arial"/>
              </w:rPr>
              <w:t xml:space="preserve">5. </w:t>
            </w:r>
            <w:proofErr w:type="spellStart"/>
            <w:r>
              <w:rPr>
                <w:rFonts w:ascii="Arial" w:hAnsi="Arial" w:cs="Arial"/>
              </w:rPr>
              <w:t>Участие</w:t>
            </w:r>
            <w:proofErr w:type="spellEnd"/>
            <w:r>
              <w:rPr>
                <w:rFonts w:ascii="Arial" w:hAnsi="Arial" w:cs="Arial"/>
              </w:rPr>
              <w:t xml:space="preserve"> в </w:t>
            </w:r>
            <w:proofErr w:type="spellStart"/>
            <w:r>
              <w:rPr>
                <w:rFonts w:ascii="Arial" w:hAnsi="Arial" w:cs="Arial"/>
              </w:rPr>
              <w:t>заседанията</w:t>
            </w:r>
            <w:proofErr w:type="spellEnd"/>
            <w:r>
              <w:rPr>
                <w:rFonts w:ascii="Arial" w:hAnsi="Arial" w:cs="Arial"/>
                <w:lang w:val="ru-RU"/>
              </w:rPr>
              <w:t xml:space="preserve"> на:</w:t>
            </w:r>
            <w:r>
              <w:rPr>
                <w:rFonts w:ascii="Arial" w:hAnsi="Arial" w:cs="Arial"/>
              </w:rPr>
              <w:t xml:space="preserve"> </w:t>
            </w:r>
          </w:p>
          <w:p w:rsidR="00870A02" w:rsidRDefault="00870A02" w:rsidP="00911B9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-Комитета “Солидарност и управление на миграционните потоци” към Европейската комисия;</w:t>
            </w:r>
          </w:p>
          <w:p w:rsidR="00870A02" w:rsidRDefault="00870A02" w:rsidP="00911B94">
            <w:r>
              <w:rPr>
                <w:rFonts w:ascii="Arial" w:eastAsia="SimSun" w:hAnsi="Arial" w:cs="Arial"/>
                <w:bCs/>
                <w:color w:val="000000"/>
                <w:lang w:val="ru-RU"/>
              </w:rPr>
              <w:t>-</w:t>
            </w:r>
            <w:r>
              <w:rPr>
                <w:rFonts w:ascii="Arial" w:eastAsia="SimSun" w:hAnsi="Arial" w:cs="Arial"/>
                <w:bCs/>
                <w:color w:val="000000"/>
              </w:rPr>
              <w:t>EURASIL</w:t>
            </w:r>
            <w:r>
              <w:rPr>
                <w:rFonts w:ascii="Arial" w:eastAsia="SimSun" w:hAnsi="Arial" w:cs="Arial"/>
                <w:bCs/>
                <w:color w:val="000000"/>
                <w:lang w:val="ru-RU"/>
              </w:rPr>
              <w:t xml:space="preserve"> (Мрежа на ЕС за практическо сътрудничество в областта на </w:t>
            </w:r>
            <w:r>
              <w:rPr>
                <w:rFonts w:ascii="Arial" w:eastAsia="SimSun" w:hAnsi="Arial" w:cs="Arial"/>
                <w:bCs/>
                <w:color w:val="000000"/>
                <w:lang w:val="ru-RU"/>
              </w:rPr>
              <w:lastRenderedPageBreak/>
              <w:t>убежището);</w:t>
            </w:r>
          </w:p>
          <w:p w:rsidR="00870A02" w:rsidRDefault="00870A02" w:rsidP="00911B94">
            <w:r>
              <w:rPr>
                <w:rFonts w:ascii="Arial" w:eastAsia="SimSun" w:hAnsi="Arial" w:cs="Arial"/>
                <w:bCs/>
                <w:color w:val="000000"/>
                <w:lang w:val="ru-RU"/>
              </w:rPr>
              <w:t>-Междуведомствена работна група по презаселването;</w:t>
            </w:r>
          </w:p>
          <w:p w:rsidR="00870A02" w:rsidRDefault="00870A02" w:rsidP="00911B94">
            <w:pPr>
              <w:jc w:val="both"/>
            </w:pPr>
            <w:r>
              <w:rPr>
                <w:rFonts w:ascii="Arial" w:eastAsia="SimSun" w:hAnsi="Arial" w:cs="Arial"/>
                <w:bCs/>
                <w:color w:val="000000"/>
                <w:lang w:val="ru-RU"/>
              </w:rPr>
              <w:t>-</w:t>
            </w:r>
            <w:proofErr w:type="spellStart"/>
            <w:r>
              <w:rPr>
                <w:rFonts w:ascii="Arial" w:eastAsia="SimSun" w:hAnsi="Arial" w:cs="Arial"/>
                <w:bCs/>
                <w:color w:val="000000"/>
              </w:rPr>
              <w:t>Европейска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bCs/>
                <w:color w:val="000000"/>
              </w:rPr>
              <w:t>мрежа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bCs/>
                <w:color w:val="000000"/>
              </w:rPr>
              <w:t>за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bCs/>
                <w:color w:val="000000"/>
              </w:rPr>
              <w:t>миграцията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</w:rPr>
              <w:t>;</w:t>
            </w:r>
          </w:p>
          <w:p w:rsidR="00870A02" w:rsidRDefault="00870A02" w:rsidP="00911B94">
            <w:r>
              <w:rPr>
                <w:rFonts w:ascii="Arial" w:eastAsia="SimSun" w:hAnsi="Arial" w:cs="Arial"/>
                <w:bCs/>
                <w:color w:val="000000"/>
                <w:lang w:val="ru-RU"/>
              </w:rPr>
              <w:t>-Работна група по статистика за убежището и миграцията към ЕВРОСТАТ на Европейската комисия и др.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ru-RU"/>
              </w:rPr>
              <w:t>Участие в работни групи и заседания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1. Участие в работна група 23 “Сътрудничество в областта на вътрешните работи”</w:t>
            </w:r>
          </w:p>
          <w:p w:rsidR="00870A02" w:rsidRDefault="00870A02" w:rsidP="00911B9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2. Участие в работна група “Убежище” към </w:t>
            </w:r>
            <w:r>
              <w:rPr>
                <w:rFonts w:ascii="Arial" w:hAnsi="Arial" w:cs="Arial"/>
                <w:lang w:val="ru-RU"/>
              </w:rPr>
              <w:lastRenderedPageBreak/>
              <w:t>Съвета на ЕС, изготвяне на позиции и указания за заседанията на работната група.</w:t>
            </w:r>
          </w:p>
          <w:p w:rsidR="00870A02" w:rsidRDefault="00870A02" w:rsidP="00911B9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3. Участие в дейности на Европейската миграционна мрежа.</w:t>
            </w:r>
          </w:p>
          <w:p w:rsidR="00870A02" w:rsidRDefault="00870A02" w:rsidP="00911B9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4. Разработване на стратегия и политика по презаселването и изграждане на административен капацитет за прилагането й.</w:t>
            </w:r>
          </w:p>
          <w:p w:rsidR="00870A02" w:rsidRDefault="00870A02" w:rsidP="00911B94">
            <w:r>
              <w:rPr>
                <w:rFonts w:ascii="Arial" w:hAnsi="Arial" w:cs="Arial"/>
                <w:lang w:val="ru-RU"/>
              </w:rPr>
              <w:t xml:space="preserve">5. </w:t>
            </w:r>
            <w:proofErr w:type="spellStart"/>
            <w:r>
              <w:rPr>
                <w:rFonts w:ascii="Arial" w:hAnsi="Arial" w:cs="Arial"/>
              </w:rPr>
              <w:t>Участие</w:t>
            </w:r>
            <w:proofErr w:type="spellEnd"/>
            <w:r>
              <w:rPr>
                <w:rFonts w:ascii="Arial" w:hAnsi="Arial" w:cs="Arial"/>
              </w:rPr>
              <w:t xml:space="preserve"> в </w:t>
            </w:r>
            <w:proofErr w:type="spellStart"/>
            <w:r>
              <w:rPr>
                <w:rFonts w:ascii="Arial" w:hAnsi="Arial" w:cs="Arial"/>
              </w:rPr>
              <w:t>заседанията</w:t>
            </w:r>
            <w:proofErr w:type="spellEnd"/>
            <w:r>
              <w:rPr>
                <w:rFonts w:ascii="Arial" w:hAnsi="Arial" w:cs="Arial"/>
                <w:lang w:val="ru-RU"/>
              </w:rPr>
              <w:t xml:space="preserve"> на:</w:t>
            </w:r>
            <w:r>
              <w:rPr>
                <w:rFonts w:ascii="Arial" w:hAnsi="Arial" w:cs="Arial"/>
              </w:rPr>
              <w:t xml:space="preserve"> </w:t>
            </w:r>
          </w:p>
          <w:p w:rsidR="00870A02" w:rsidRDefault="00870A02" w:rsidP="00911B9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-Комитета “Солидарност и управление на миграционните потоци” към Европейската комисия;</w:t>
            </w:r>
          </w:p>
          <w:p w:rsidR="00870A02" w:rsidRDefault="00870A02" w:rsidP="00911B94">
            <w:r>
              <w:rPr>
                <w:rFonts w:ascii="Arial" w:eastAsia="SimSun" w:hAnsi="Arial" w:cs="Arial"/>
                <w:bCs/>
                <w:color w:val="000000"/>
                <w:lang w:val="ru-RU"/>
              </w:rPr>
              <w:t>-</w:t>
            </w:r>
            <w:r>
              <w:rPr>
                <w:rFonts w:ascii="Arial" w:eastAsia="SimSun" w:hAnsi="Arial" w:cs="Arial"/>
                <w:bCs/>
                <w:color w:val="000000"/>
              </w:rPr>
              <w:t>EURASIL</w:t>
            </w:r>
            <w:r>
              <w:rPr>
                <w:rFonts w:ascii="Arial" w:eastAsia="SimSun" w:hAnsi="Arial" w:cs="Arial"/>
                <w:bCs/>
                <w:color w:val="000000"/>
                <w:lang w:val="ru-RU"/>
              </w:rPr>
              <w:t xml:space="preserve"> (Мрежа на ЕС за практическо сътрудничество в областта на убежището);</w:t>
            </w:r>
          </w:p>
          <w:p w:rsidR="00870A02" w:rsidRDefault="00870A02" w:rsidP="00911B94">
            <w:r>
              <w:rPr>
                <w:rFonts w:ascii="Arial" w:eastAsia="SimSun" w:hAnsi="Arial" w:cs="Arial"/>
                <w:bCs/>
                <w:color w:val="000000"/>
                <w:lang w:val="ru-RU"/>
              </w:rPr>
              <w:lastRenderedPageBreak/>
              <w:t>-Междуведомствена работна група по презаселването;</w:t>
            </w:r>
          </w:p>
          <w:p w:rsidR="00870A02" w:rsidRDefault="00870A02" w:rsidP="00911B94">
            <w:pPr>
              <w:jc w:val="both"/>
            </w:pPr>
            <w:r>
              <w:rPr>
                <w:rFonts w:ascii="Arial" w:eastAsia="SimSun" w:hAnsi="Arial" w:cs="Arial"/>
                <w:bCs/>
                <w:color w:val="000000"/>
                <w:lang w:val="ru-RU"/>
              </w:rPr>
              <w:t>-</w:t>
            </w:r>
            <w:proofErr w:type="spellStart"/>
            <w:r>
              <w:rPr>
                <w:rFonts w:ascii="Arial" w:eastAsia="SimSun" w:hAnsi="Arial" w:cs="Arial"/>
                <w:bCs/>
                <w:color w:val="000000"/>
              </w:rPr>
              <w:t>Европейска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bCs/>
                <w:color w:val="000000"/>
              </w:rPr>
              <w:t>мрежа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bCs/>
                <w:color w:val="000000"/>
              </w:rPr>
              <w:t>за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bCs/>
                <w:color w:val="000000"/>
              </w:rPr>
              <w:t>миграцията</w:t>
            </w:r>
            <w:proofErr w:type="spellEnd"/>
            <w:r>
              <w:rPr>
                <w:rFonts w:ascii="Arial" w:eastAsia="SimSun" w:hAnsi="Arial" w:cs="Arial"/>
                <w:bCs/>
                <w:color w:val="000000"/>
              </w:rPr>
              <w:t>;</w:t>
            </w:r>
          </w:p>
          <w:p w:rsidR="00870A02" w:rsidRDefault="00870A02" w:rsidP="00911B94">
            <w:r>
              <w:rPr>
                <w:rFonts w:ascii="Arial" w:eastAsia="SimSun" w:hAnsi="Arial" w:cs="Arial"/>
                <w:bCs/>
                <w:color w:val="000000"/>
                <w:lang w:val="ru-RU"/>
              </w:rPr>
              <w:t>-Работна група по статистика за убежището и миграцията към ЕВРОСТАТ на Европейската комисия и др.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Напълно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/100%/</w:t>
            </w:r>
          </w:p>
        </w:tc>
      </w:tr>
      <w:tr w:rsidR="00870A02" w:rsidTr="00911B94"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7.Подобряване организацията по събиране, анализ и разпространение на информацията за държави по произход.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Реализиране на проект за създаване на Документационен център.</w:t>
            </w:r>
          </w:p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870A02" w:rsidRPr="007257D1" w:rsidRDefault="00870A02" w:rsidP="00911B9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Функциониращ  Документационен център.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rPr>
                <w:rFonts w:ascii="Arial" w:hAnsi="Arial" w:cs="Arial"/>
                <w:lang w:val="ru-RU"/>
              </w:rPr>
            </w:pPr>
          </w:p>
          <w:p w:rsidR="00870A02" w:rsidRDefault="00870A02" w:rsidP="00911B94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Изграден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Документационен център</w:t>
            </w:r>
            <w:r>
              <w:rPr>
                <w:rFonts w:ascii="Arial" w:hAnsi="Arial" w:cs="Arial"/>
                <w:lang w:val="ru-RU"/>
              </w:rPr>
              <w:t xml:space="preserve"> - Ресурсен център – страни на произход– фаза 1.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A02" w:rsidRDefault="00870A02" w:rsidP="00911B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Напълно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постигната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/100%/</w:t>
            </w:r>
          </w:p>
        </w:tc>
      </w:tr>
    </w:tbl>
    <w:p w:rsidR="00870A02" w:rsidRPr="00870A02" w:rsidRDefault="00870A02" w:rsidP="00870A02">
      <w:pPr>
        <w:ind w:left="-567"/>
        <w:rPr>
          <w:sz w:val="32"/>
          <w:szCs w:val="32"/>
        </w:rPr>
      </w:pPr>
    </w:p>
    <w:sectPr w:rsidR="00870A02" w:rsidRPr="00870A02" w:rsidSect="00870A02">
      <w:pgSz w:w="15840" w:h="12240" w:orient="landscape"/>
      <w:pgMar w:top="709" w:right="426" w:bottom="1440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96567"/>
    <w:multiLevelType w:val="multilevel"/>
    <w:tmpl w:val="C7D82D8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870A02"/>
    <w:rsid w:val="00271A3E"/>
    <w:rsid w:val="005C10D0"/>
    <w:rsid w:val="005F5440"/>
    <w:rsid w:val="0063716E"/>
    <w:rsid w:val="007257D1"/>
    <w:rsid w:val="00870A02"/>
    <w:rsid w:val="00883EF8"/>
    <w:rsid w:val="009C1735"/>
    <w:rsid w:val="00BC4C23"/>
    <w:rsid w:val="00E23B27"/>
    <w:rsid w:val="00EE1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870A02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1309</Words>
  <Characters>7466</Characters>
  <Application>Microsoft Office Word</Application>
  <DocSecurity>0</DocSecurity>
  <Lines>62</Lines>
  <Paragraphs>17</Paragraphs>
  <ScaleCrop>false</ScaleCrop>
  <Company/>
  <LinksUpToDate>false</LinksUpToDate>
  <CharactersWithSpaces>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2012-03-01T20:19:00Z</dcterms:created>
  <dcterms:modified xsi:type="dcterms:W3CDTF">2012-03-01T20:19:00Z</dcterms:modified>
</cp:coreProperties>
</file>